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A9A60" w14:textId="73A4FC21" w:rsidR="0033700E" w:rsidRDefault="0033700E" w:rsidP="00755AC9">
      <w:r>
        <w:t xml:space="preserve">February 18, </w:t>
      </w:r>
      <w:proofErr w:type="gramStart"/>
      <w:r>
        <w:t>2026</w:t>
      </w:r>
      <w:proofErr w:type="gramEnd"/>
      <w:r>
        <w:t xml:space="preserve"> GSETA Monitoring Meeting Summary</w:t>
      </w:r>
    </w:p>
    <w:p w14:paraId="25BDE828" w14:textId="0AFF5445" w:rsidR="00BE6C28" w:rsidRDefault="000248FD" w:rsidP="00755AC9">
      <w:r>
        <w:rPr>
          <w:b/>
          <w:bCs/>
        </w:rPr>
        <w:t xml:space="preserve">Quick </w:t>
      </w:r>
      <w:r w:rsidR="00BE6C28" w:rsidRPr="001C16BE">
        <w:rPr>
          <w:b/>
          <w:bCs/>
        </w:rPr>
        <w:t xml:space="preserve">Meeting </w:t>
      </w:r>
      <w:r w:rsidR="001C16BE" w:rsidRPr="001C16BE">
        <w:rPr>
          <w:b/>
          <w:bCs/>
        </w:rPr>
        <w:t>Recap</w:t>
      </w:r>
    </w:p>
    <w:p w14:paraId="54C89889" w14:textId="77777777" w:rsidR="00BE6C28" w:rsidRDefault="00BE6C28" w:rsidP="00BE6C28">
      <w:pPr>
        <w:pStyle w:val="muitypography-root"/>
        <w:shd w:val="clear" w:color="auto" w:fill="FFFFFF"/>
        <w:spacing w:before="0" w:beforeAutospacing="0" w:after="0" w:afterAutospacing="0"/>
        <w:rPr>
          <w:rFonts w:asciiTheme="minorHAnsi" w:hAnsiTheme="minorHAnsi" w:cs="Arial"/>
          <w:color w:val="515151"/>
        </w:rPr>
      </w:pPr>
      <w:r w:rsidRPr="00BE6C28">
        <w:rPr>
          <w:rFonts w:asciiTheme="minorHAnsi" w:hAnsiTheme="minorHAnsi" w:cs="Arial"/>
          <w:color w:val="515151"/>
        </w:rPr>
        <w:t xml:space="preserve">The meeting reviewed credential attainment and monitoring practices for training providers, data entry in OSOS/NextGen, ETPL requirements, and related policy guidance. Kelly O'Neill McGuire raised questions about monitoring online programs and the group examined operational practices to secure and record credentials, including contract </w:t>
      </w:r>
      <w:proofErr w:type="gramStart"/>
      <w:r w:rsidRPr="00BE6C28">
        <w:rPr>
          <w:rFonts w:asciiTheme="minorHAnsi" w:hAnsiTheme="minorHAnsi" w:cs="Arial"/>
          <w:color w:val="515151"/>
        </w:rPr>
        <w:t>hold-backs</w:t>
      </w:r>
      <w:proofErr w:type="gramEnd"/>
      <w:r w:rsidRPr="00BE6C28">
        <w:rPr>
          <w:rFonts w:asciiTheme="minorHAnsi" w:hAnsiTheme="minorHAnsi" w:cs="Arial"/>
          <w:color w:val="515151"/>
        </w:rPr>
        <w:t xml:space="preserve"> tied to credential receipt, vendor and school responsibilities for scheduling or verifying exams, counselor and vendor follow-up, copying and routing credential documents to fiscal and data-entry staff, and entering evidence into AOSOS with document-location notes. Participants preferred programs that integrate testing into curriculum but left implementation details for </w:t>
      </w:r>
      <w:proofErr w:type="gramStart"/>
      <w:r w:rsidRPr="00BE6C28">
        <w:rPr>
          <w:rFonts w:asciiTheme="minorHAnsi" w:hAnsiTheme="minorHAnsi" w:cs="Arial"/>
          <w:color w:val="515151"/>
        </w:rPr>
        <w:t>hold-backs</w:t>
      </w:r>
      <w:proofErr w:type="gramEnd"/>
      <w:r w:rsidRPr="00BE6C28">
        <w:rPr>
          <w:rFonts w:asciiTheme="minorHAnsi" w:hAnsiTheme="minorHAnsi" w:cs="Arial"/>
          <w:color w:val="515151"/>
        </w:rPr>
        <w:t xml:space="preserve"> and ETPL descriptions unresolved and agreed to circulate written practices.</w:t>
      </w:r>
    </w:p>
    <w:p w14:paraId="0AE46B0F" w14:textId="77777777" w:rsidR="00BE6C28" w:rsidRPr="00BE6C28" w:rsidRDefault="00BE6C28" w:rsidP="00BE6C28">
      <w:pPr>
        <w:pStyle w:val="muitypography-root"/>
        <w:shd w:val="clear" w:color="auto" w:fill="FFFFFF"/>
        <w:spacing w:before="0" w:beforeAutospacing="0" w:after="0" w:afterAutospacing="0"/>
        <w:rPr>
          <w:rFonts w:asciiTheme="minorHAnsi" w:hAnsiTheme="minorHAnsi" w:cs="Arial"/>
          <w:color w:val="515151"/>
        </w:rPr>
      </w:pPr>
    </w:p>
    <w:p w14:paraId="2E90926B" w14:textId="77777777" w:rsidR="00BE6C28" w:rsidRPr="00BE6C28" w:rsidRDefault="00BE6C28" w:rsidP="00BE6C28">
      <w:pPr>
        <w:pStyle w:val="muitypography-root"/>
        <w:shd w:val="clear" w:color="auto" w:fill="FFFFFF"/>
        <w:spacing w:before="0" w:beforeAutospacing="0" w:after="0" w:afterAutospacing="0"/>
        <w:rPr>
          <w:rFonts w:asciiTheme="minorHAnsi" w:hAnsiTheme="minorHAnsi" w:cs="Arial"/>
          <w:color w:val="515151"/>
        </w:rPr>
      </w:pPr>
      <w:r w:rsidRPr="00BE6C28">
        <w:rPr>
          <w:rFonts w:asciiTheme="minorHAnsi" w:hAnsiTheme="minorHAnsi" w:cs="Arial"/>
          <w:color w:val="515151"/>
        </w:rPr>
        <w:t>The discussion also covered data system issues and policy updates: records may exist in both legacy OSOS and NextGen and bulk uploads are possible, but document-scanning/upload constraints require follow-up with OSIS/WISE staff; a new Selective Service prompt for unenrolled youth prompted clarification about when a finding occurs; USDOL AI literacy guidance was reviewed and federal guidance will be circulated ahead of a forthcoming state AI policy; updated ADA/EEO language is being finalized; poverty and lower living standards timing was noted; and participants committed to sharing procurement policies, the ETPL presentation, a county in-demand occupations Excel file, and scheduling the next meeting for May 20.</w:t>
      </w:r>
    </w:p>
    <w:p w14:paraId="57C6B936" w14:textId="77777777" w:rsidR="004F50E6" w:rsidRDefault="004F50E6" w:rsidP="00755AC9">
      <w:pPr>
        <w:rPr>
          <w:b/>
          <w:bCs/>
        </w:rPr>
      </w:pPr>
    </w:p>
    <w:p w14:paraId="50B90836" w14:textId="0A6499BD" w:rsidR="001C16BE" w:rsidRDefault="001C16BE" w:rsidP="00755AC9">
      <w:pPr>
        <w:rPr>
          <w:b/>
          <w:bCs/>
        </w:rPr>
      </w:pPr>
      <w:r>
        <w:rPr>
          <w:b/>
          <w:bCs/>
        </w:rPr>
        <w:t>Meeting Summary</w:t>
      </w:r>
    </w:p>
    <w:p w14:paraId="62338A05" w14:textId="54EE5F31" w:rsidR="00BE6C28" w:rsidRPr="0050096F" w:rsidRDefault="00BE6C28" w:rsidP="00755AC9">
      <w:pPr>
        <w:rPr>
          <w:b/>
          <w:bCs/>
        </w:rPr>
      </w:pPr>
      <w:r w:rsidRPr="0050096F">
        <w:rPr>
          <w:b/>
          <w:bCs/>
        </w:rPr>
        <w:t>Topics:</w:t>
      </w:r>
    </w:p>
    <w:p w14:paraId="40011112" w14:textId="77777777" w:rsidR="00755AC9" w:rsidRPr="00BE6C28" w:rsidRDefault="00755AC9" w:rsidP="00755AC9">
      <w:pPr>
        <w:rPr>
          <w:b/>
          <w:bCs/>
        </w:rPr>
      </w:pPr>
      <w:r w:rsidRPr="00BE6C28">
        <w:rPr>
          <w:b/>
          <w:bCs/>
        </w:rPr>
        <w:t>Monitoring guidance for online training programs</w:t>
      </w:r>
    </w:p>
    <w:p w14:paraId="03F8A826" w14:textId="77777777" w:rsidR="00755AC9" w:rsidRDefault="00755AC9" w:rsidP="00755AC9">
      <w:r>
        <w:t>Kelly raised a question about monitoring online training and relayed Kendra Lee's response that monitoring follows the same process used for in-person schools, with in-person visits not required for online providers. The group acknowledged there is no separate policy for online programs beyond that distinction.</w:t>
      </w:r>
    </w:p>
    <w:p w14:paraId="1B3F93F0" w14:textId="77777777" w:rsidR="00755AC9" w:rsidRPr="00BE6C28" w:rsidRDefault="00755AC9" w:rsidP="00755AC9">
      <w:pPr>
        <w:rPr>
          <w:b/>
          <w:bCs/>
        </w:rPr>
      </w:pPr>
      <w:r w:rsidRPr="00BE6C28">
        <w:rPr>
          <w:b/>
          <w:bCs/>
        </w:rPr>
        <w:t>Credential outcomes and contract practices (introduction and examples)</w:t>
      </w:r>
    </w:p>
    <w:p w14:paraId="711B0EE3" w14:textId="0226980E" w:rsidR="00755AC9" w:rsidRDefault="00BE6C28" w:rsidP="00755AC9">
      <w:r>
        <w:t xml:space="preserve">1. </w:t>
      </w:r>
      <w:r w:rsidR="00755AC9">
        <w:t xml:space="preserve">The committee shifted to credential outcomes and best practices, noting active outreach to schools and clients and discussing hold-back mechanisms tied to credential attainment as a tracking and incentive tool. Nick </w:t>
      </w:r>
      <w:r w:rsidR="00580D9B">
        <w:t xml:space="preserve">Intromasso </w:t>
      </w:r>
      <w:r w:rsidR="00755AC9">
        <w:t>described Monmouth County's practice of contracting with Equus to hold the final ~10% payment until credentials are provided.</w:t>
      </w:r>
    </w:p>
    <w:p w14:paraId="36171D37" w14:textId="66260F2D" w:rsidR="00755AC9" w:rsidRDefault="00755AC9" w:rsidP="00755AC9">
      <w:r>
        <w:t xml:space="preserve">Several counties use </w:t>
      </w:r>
      <w:proofErr w:type="gramStart"/>
      <w:r w:rsidR="00532E4B">
        <w:t>a contractual</w:t>
      </w:r>
      <w:proofErr w:type="gramEnd"/>
      <w:r>
        <w:t xml:space="preserve"> hold-back (commonly around 10%) to withhold final vendor payment until a credential is earned.</w:t>
      </w:r>
    </w:p>
    <w:p w14:paraId="3E9AAC4A" w14:textId="2F2BC31A" w:rsidR="00755AC9" w:rsidRDefault="00BE6C28" w:rsidP="00755AC9">
      <w:r>
        <w:t xml:space="preserve">2. </w:t>
      </w:r>
      <w:r w:rsidR="00755AC9">
        <w:t>Vendor, school, and counselor coordination to secure credentials</w:t>
      </w:r>
    </w:p>
    <w:p w14:paraId="4ED069B9" w14:textId="77777777" w:rsidR="00755AC9" w:rsidRDefault="00755AC9" w:rsidP="00755AC9">
      <w:r>
        <w:t>Participants detailed how schools and vendors coordinate to ensure students take exams, including schools helping schedule tests and both counselors and vendors following up because final payment depends on credential submission. The group discussed whether ETPL changes are required and concluded contracts can specify credential inclusion without necessarily altering ETPL entries.</w:t>
      </w:r>
    </w:p>
    <w:p w14:paraId="2C74CC0E" w14:textId="3E0EABE7" w:rsidR="00755AC9" w:rsidRDefault="00755AC9" w:rsidP="00755AC9">
      <w:r>
        <w:t>Combining vendor contractual requirements, school involvement, and counselor follow-up is an effective approach to drive credential completion.</w:t>
      </w:r>
    </w:p>
    <w:p w14:paraId="17C4F381" w14:textId="59E1C926" w:rsidR="00755AC9" w:rsidRDefault="00755AC9" w:rsidP="00755AC9">
      <w:r>
        <w:t xml:space="preserve">There is no single standardized credential list; teams should follow existing definitions and consult </w:t>
      </w:r>
      <w:r w:rsidR="00532E4B">
        <w:t>NJ</w:t>
      </w:r>
      <w:r>
        <w:t>DOL validation contacts for questions.</w:t>
      </w:r>
    </w:p>
    <w:p w14:paraId="16B9D9FA" w14:textId="5A32B862" w:rsidR="00755AC9" w:rsidRDefault="00BE6C28" w:rsidP="00755AC9">
      <w:r>
        <w:t xml:space="preserve">3. </w:t>
      </w:r>
      <w:r w:rsidR="00755AC9">
        <w:t>Documentation, data entry, and administrative controls</w:t>
      </w:r>
    </w:p>
    <w:p w14:paraId="72EC0417" w14:textId="682A2B7A" w:rsidR="00755AC9" w:rsidRDefault="00755AC9" w:rsidP="00755AC9">
      <w:r>
        <w:t>Joan Desmarais emphasized the importance of routing credential copies to billing, counselors, and data-entry staff to avoid lost records and improve reporting. Nick recommended recording document location in AOSOS and keeping a hard copy in client files to ensure credentials are findable and properly entered. Kelly confirmed</w:t>
      </w:r>
      <w:r w:rsidR="00532E4B">
        <w:t xml:space="preserve"> </w:t>
      </w:r>
      <w:r>
        <w:t>vendor contracts require schools to send credentials to counselors and fiscal teams typically receive copies first.</w:t>
      </w:r>
    </w:p>
    <w:p w14:paraId="6365D001" w14:textId="60675019" w:rsidR="00755AC9" w:rsidRDefault="00755AC9" w:rsidP="00755AC9">
      <w:r>
        <w:t>Ensuring credential documents are copied to fiscal and data-entry staff and recorded in AOSOS reduces lost or unrecorded credentials.</w:t>
      </w:r>
    </w:p>
    <w:p w14:paraId="53E994B2" w14:textId="12398644" w:rsidR="00755AC9" w:rsidRDefault="00755AC9" w:rsidP="00755AC9">
      <w:r>
        <w:t>Programs that incorporate testing before participants leave the facility yield better credential outcomes.</w:t>
      </w:r>
    </w:p>
    <w:p w14:paraId="1AF9FB25" w14:textId="4B99AF5E" w:rsidR="00755AC9" w:rsidRDefault="00BE6C28" w:rsidP="00755AC9">
      <w:r>
        <w:t xml:space="preserve">4. </w:t>
      </w:r>
      <w:r w:rsidR="00755AC9">
        <w:t>Credential recording and OSOS/NextGen discussion</w:t>
      </w:r>
    </w:p>
    <w:p w14:paraId="032478C9" w14:textId="410B5C06" w:rsidR="00755AC9" w:rsidRDefault="00755AC9" w:rsidP="00755AC9">
      <w:r>
        <w:t xml:space="preserve">Participants raised challenges obtaining post-training credentials from clients and </w:t>
      </w:r>
      <w:r w:rsidR="00532E4B">
        <w:t xml:space="preserve">asked </w:t>
      </w:r>
      <w:r>
        <w:t xml:space="preserve">where to record credentials—legacy OSOS, NextGen, or both. The group confirmed </w:t>
      </w:r>
      <w:r w:rsidR="00BE6C28">
        <w:t>either</w:t>
      </w:r>
      <w:r>
        <w:t xml:space="preserve"> recording is possible and identified uncertainty about who may upload credentials and document-scanning restrictions, with multiple staff noting limits historically applied to uploading/scanning rather than credential data entry.</w:t>
      </w:r>
    </w:p>
    <w:p w14:paraId="41CC5389" w14:textId="6BD61936" w:rsidR="00755AC9" w:rsidRDefault="00755AC9" w:rsidP="00755AC9">
      <w:r>
        <w:t>Document upload/scanning restrictions are the likely limiter for credential entry and require confirmation from the WISE/OSIS team</w:t>
      </w:r>
      <w:r w:rsidR="00532E4B">
        <w:t>.</w:t>
      </w:r>
    </w:p>
    <w:p w14:paraId="34F6A0AE" w14:textId="77777777" w:rsidR="00CF4C51" w:rsidRDefault="00CF4C51" w:rsidP="00755AC9">
      <w:pPr>
        <w:rPr>
          <w:b/>
          <w:bCs/>
        </w:rPr>
      </w:pPr>
    </w:p>
    <w:p w14:paraId="691BEED0" w14:textId="4953F54F" w:rsidR="00755AC9" w:rsidRPr="00BE6C28" w:rsidRDefault="00755AC9" w:rsidP="00755AC9">
      <w:pPr>
        <w:rPr>
          <w:b/>
          <w:bCs/>
        </w:rPr>
      </w:pPr>
      <w:r w:rsidRPr="00BE6C28">
        <w:rPr>
          <w:b/>
          <w:bCs/>
        </w:rPr>
        <w:t>AI guidance for career services</w:t>
      </w:r>
    </w:p>
    <w:p w14:paraId="6FA5922D" w14:textId="58908D85" w:rsidR="00755AC9" w:rsidRDefault="00755AC9" w:rsidP="00755AC9">
      <w:r>
        <w:t xml:space="preserve">The group reviewed newly released USDOL AI literacy guidance and discussed incorporating it into state-level AI policy; John estimated the state guidance will be ready in about three weeks, and Kelly offered to circulate </w:t>
      </w:r>
      <w:r w:rsidR="00CF4C51">
        <w:t xml:space="preserve">TEN 07-25 </w:t>
      </w:r>
      <w:r>
        <w:t xml:space="preserve">to staff ahead of </w:t>
      </w:r>
      <w:r w:rsidR="00760F80">
        <w:t>the state-level guidance</w:t>
      </w:r>
      <w:r>
        <w:t>.</w:t>
      </w:r>
    </w:p>
    <w:p w14:paraId="5F0112BE" w14:textId="77777777" w:rsidR="00755AC9" w:rsidRPr="00BE6C28" w:rsidRDefault="00755AC9" w:rsidP="00755AC9">
      <w:pPr>
        <w:rPr>
          <w:b/>
          <w:bCs/>
        </w:rPr>
      </w:pPr>
      <w:r w:rsidRPr="00BE6C28">
        <w:rPr>
          <w:b/>
          <w:bCs/>
        </w:rPr>
        <w:t>Procurement policy sharing</w:t>
      </w:r>
    </w:p>
    <w:p w14:paraId="4738EB53" w14:textId="77777777" w:rsidR="00755AC9" w:rsidRDefault="00755AC9" w:rsidP="00755AC9">
      <w:r>
        <w:t>Attendees reported recent procurement monitoring and offered to share their local procurement policies or website links; several participants confirmed they would make their documents available to the group.</w:t>
      </w:r>
    </w:p>
    <w:p w14:paraId="6DA8A2FF" w14:textId="0F920DF4" w:rsidR="00755AC9" w:rsidRDefault="00755AC9" w:rsidP="00755AC9">
      <w:r>
        <w:t>Several local procurement policies will be shared via website links or direct circulation</w:t>
      </w:r>
      <w:r w:rsidR="00532E4B">
        <w:t>.</w:t>
      </w:r>
    </w:p>
    <w:p w14:paraId="0985AB34" w14:textId="77777777" w:rsidR="00755AC9" w:rsidRPr="00D6131C" w:rsidRDefault="00755AC9" w:rsidP="00755AC9">
      <w:pPr>
        <w:rPr>
          <w:b/>
          <w:bCs/>
        </w:rPr>
      </w:pPr>
      <w:r w:rsidRPr="00D6131C">
        <w:rPr>
          <w:b/>
          <w:bCs/>
        </w:rPr>
        <w:t>ADA/EEO policy update and timing</w:t>
      </w:r>
    </w:p>
    <w:p w14:paraId="6805A827" w14:textId="02DECB36" w:rsidR="00755AC9" w:rsidRDefault="00755AC9" w:rsidP="00755AC9">
      <w:r>
        <w:t xml:space="preserve">John </w:t>
      </w:r>
      <w:r w:rsidR="00532E4B">
        <w:t xml:space="preserve">Biceca </w:t>
      </w:r>
      <w:r>
        <w:t>and Joan confirmed work is underway to update ADA/EEO language based on prior guidance, with John indicating the revised policy will be released shortly for presentation and discussion.</w:t>
      </w:r>
    </w:p>
    <w:p w14:paraId="38A1DBA3" w14:textId="77777777" w:rsidR="00755AC9" w:rsidRPr="00D6131C" w:rsidRDefault="00755AC9" w:rsidP="00755AC9">
      <w:pPr>
        <w:rPr>
          <w:b/>
          <w:bCs/>
        </w:rPr>
      </w:pPr>
      <w:r w:rsidRPr="00D6131C">
        <w:rPr>
          <w:b/>
          <w:bCs/>
        </w:rPr>
        <w:t>Federal poverty and lower living standards timing</w:t>
      </w:r>
    </w:p>
    <w:p w14:paraId="3473BF94" w14:textId="6537BF89" w:rsidR="00755AC9" w:rsidRDefault="00755AC9" w:rsidP="00755AC9">
      <w:r>
        <w:t xml:space="preserve">Anthony </w:t>
      </w:r>
      <w:r w:rsidR="00760F80">
        <w:t xml:space="preserve">Scott </w:t>
      </w:r>
      <w:r>
        <w:t>asked about updated poverty and lower living standard levels; John clarified poverty guidelines update in January while lower living standard income levels are updated in spring (March–April), and the department will circulate the new figures when available.</w:t>
      </w:r>
    </w:p>
    <w:p w14:paraId="13C75D0C" w14:textId="77777777" w:rsidR="00755AC9" w:rsidRPr="00D6131C" w:rsidRDefault="00755AC9" w:rsidP="00755AC9">
      <w:pPr>
        <w:rPr>
          <w:b/>
          <w:bCs/>
        </w:rPr>
      </w:pPr>
      <w:r w:rsidRPr="00D6131C">
        <w:rPr>
          <w:b/>
          <w:bCs/>
        </w:rPr>
        <w:t>Monitoring checklist request and feasibility discussion</w:t>
      </w:r>
    </w:p>
    <w:p w14:paraId="1FC27556" w14:textId="77777777" w:rsidR="00D6131C" w:rsidRDefault="00755AC9" w:rsidP="00755AC9">
      <w:r>
        <w:t xml:space="preserve">Anthony requested a DOL monitoring checklist for </w:t>
      </w:r>
      <w:proofErr w:type="gramStart"/>
      <w:r>
        <w:t>adult</w:t>
      </w:r>
      <w:proofErr w:type="gramEnd"/>
      <w:r>
        <w:t xml:space="preserve">, dislocated </w:t>
      </w:r>
      <w:proofErr w:type="gramStart"/>
      <w:r>
        <w:t>worker</w:t>
      </w:r>
      <w:proofErr w:type="gramEnd"/>
      <w:r>
        <w:t>, and youth files to standardize local monitoring</w:t>
      </w:r>
      <w:r w:rsidR="00D6131C">
        <w:t>.</w:t>
      </w:r>
    </w:p>
    <w:p w14:paraId="62494F6D" w14:textId="3B3C0C32" w:rsidR="00755AC9" w:rsidRDefault="00D6131C" w:rsidP="00755AC9">
      <w:r>
        <w:t>Najeeb Muniir and other</w:t>
      </w:r>
      <w:r w:rsidR="00755AC9">
        <w:t xml:space="preserve"> participants agreed a baseline checklist would help but cautioned that county variation makes one rigid template impractical, and multiple attendees recommended using existing DOL lists and adapting them locally.</w:t>
      </w:r>
    </w:p>
    <w:p w14:paraId="352069A0" w14:textId="26BBCC8E" w:rsidR="00755AC9" w:rsidRPr="00D6131C" w:rsidRDefault="00755AC9" w:rsidP="00755AC9">
      <w:pPr>
        <w:rPr>
          <w:b/>
          <w:bCs/>
        </w:rPr>
      </w:pPr>
      <w:r w:rsidRPr="00D6131C">
        <w:rPr>
          <w:b/>
          <w:bCs/>
        </w:rPr>
        <w:t>Selective Service issue in A</w:t>
      </w:r>
      <w:r w:rsidR="00760F80" w:rsidRPr="00D6131C">
        <w:rPr>
          <w:b/>
          <w:bCs/>
        </w:rPr>
        <w:t>O</w:t>
      </w:r>
      <w:r w:rsidRPr="00D6131C">
        <w:rPr>
          <w:b/>
          <w:bCs/>
        </w:rPr>
        <w:t>SOS</w:t>
      </w:r>
    </w:p>
    <w:p w14:paraId="724EDB8F" w14:textId="77777777" w:rsidR="00D6131C" w:rsidRDefault="00755AC9" w:rsidP="00755AC9">
      <w:r>
        <w:t xml:space="preserve">Richelle </w:t>
      </w:r>
      <w:r w:rsidR="00D6131C">
        <w:t xml:space="preserve">Hardison </w:t>
      </w:r>
      <w:r>
        <w:t xml:space="preserve">raised that MIS observed a new Selective Service notification appearing for youth who are currently unenrolled, which is difficult to track and could lead to findings. </w:t>
      </w:r>
    </w:p>
    <w:p w14:paraId="3780E7E2" w14:textId="70DD3BDF" w:rsidR="00755AC9" w:rsidRDefault="00755AC9" w:rsidP="00755AC9">
      <w:r>
        <w:t xml:space="preserve">Mark Van Kampen asked for specific NJ ID </w:t>
      </w:r>
      <w:r w:rsidR="00760F80">
        <w:t xml:space="preserve">(AOSOS) </w:t>
      </w:r>
      <w:r>
        <w:t>numbers to investigate, and DOL staff clarified the criterion for a finding is typically when a youth turns 18 while enrolled or when a Selective Service number is not attached to the record.</w:t>
      </w:r>
    </w:p>
    <w:p w14:paraId="6F8BE526" w14:textId="77777777" w:rsidR="00755AC9" w:rsidRDefault="00755AC9" w:rsidP="00755AC9">
      <w:r>
        <w:t xml:space="preserve">Atlantic County and other participants described instances where Selective Service issues surfaced during follow-up periods and explained that selecting Selective Service in the </w:t>
      </w:r>
      <w:r w:rsidRPr="0003156C">
        <w:t>system without entering the registration number will not register correctly. Participants</w:t>
      </w:r>
      <w:r>
        <w:t xml:space="preserve"> agreed that verification is needed to confirm whether cases were after exit and thus not findings.</w:t>
      </w:r>
    </w:p>
    <w:p w14:paraId="6C5A15DB" w14:textId="6735C798" w:rsidR="00755AC9" w:rsidRPr="00D6131C" w:rsidRDefault="00D6131C" w:rsidP="00755AC9">
      <w:pPr>
        <w:rPr>
          <w:b/>
          <w:bCs/>
        </w:rPr>
      </w:pPr>
      <w:r w:rsidRPr="00D6131C">
        <w:rPr>
          <w:b/>
          <w:bCs/>
        </w:rPr>
        <w:t xml:space="preserve">Further discussion on procurement and other policy development regarding </w:t>
      </w:r>
      <w:r w:rsidR="00755AC9" w:rsidRPr="00D6131C">
        <w:rPr>
          <w:b/>
          <w:bCs/>
        </w:rPr>
        <w:t>Board policy and monitoring approach</w:t>
      </w:r>
    </w:p>
    <w:p w14:paraId="7A384885" w14:textId="77777777" w:rsidR="00D6131C" w:rsidRDefault="00755AC9" w:rsidP="00755AC9">
      <w:r>
        <w:t xml:space="preserve">Tammy </w:t>
      </w:r>
      <w:r w:rsidR="00760F80">
        <w:t xml:space="preserve">Molinelli </w:t>
      </w:r>
      <w:r>
        <w:t xml:space="preserve">emphasized that policy development is a board responsibility best done via committees with cross-functional input, including procurement and community stakeholders, and framed monitoring as a refining process rather than a "gotcha". </w:t>
      </w:r>
    </w:p>
    <w:p w14:paraId="570570E3" w14:textId="15370144" w:rsidR="00755AC9" w:rsidRDefault="00755AC9" w:rsidP="00755AC9">
      <w:r>
        <w:t>Attendees discussed using committee work and broader perspectives to produce policies that serve the community and partners.</w:t>
      </w:r>
    </w:p>
    <w:p w14:paraId="06C897E6" w14:textId="12653947" w:rsidR="00755AC9" w:rsidRDefault="00755AC9" w:rsidP="00755AC9">
      <w:r>
        <w:t>Board-level policy development should be collaborative through committees and include procurement and community stakeholders to align with DOL expectations.</w:t>
      </w:r>
    </w:p>
    <w:p w14:paraId="0FC2D020" w14:textId="27D0C7A5" w:rsidR="00755AC9" w:rsidRPr="00532E4B" w:rsidRDefault="00D6131C" w:rsidP="00755AC9">
      <w:pPr>
        <w:rPr>
          <w:b/>
          <w:bCs/>
        </w:rPr>
      </w:pPr>
      <w:r w:rsidRPr="00532E4B">
        <w:rPr>
          <w:b/>
          <w:bCs/>
        </w:rPr>
        <w:t xml:space="preserve">Further discussion on </w:t>
      </w:r>
      <w:r w:rsidR="00755AC9" w:rsidRPr="00532E4B">
        <w:rPr>
          <w:b/>
          <w:bCs/>
        </w:rPr>
        <w:t>Monitoring tools, practices, and historical review</w:t>
      </w:r>
    </w:p>
    <w:p w14:paraId="6572AA44" w14:textId="77777777" w:rsidR="00D6131C" w:rsidRDefault="00755AC9" w:rsidP="00755AC9">
      <w:r>
        <w:t xml:space="preserve">Sabrina </w:t>
      </w:r>
      <w:r w:rsidR="00760F80">
        <w:t xml:space="preserve">Sullivan </w:t>
      </w:r>
      <w:r>
        <w:t xml:space="preserve">pointed attendees to the 2025 Core Monitoring Guide (page 247) and noted that monitoring tools change year to year but are often shared in advance via Microsoft Teams; she confirmed PY22 tools were uploaded for local areas. </w:t>
      </w:r>
    </w:p>
    <w:p w14:paraId="3FB70D14" w14:textId="010244BF" w:rsidR="00755AC9" w:rsidRDefault="00755AC9" w:rsidP="00755AC9">
      <w:r>
        <w:t xml:space="preserve">Monica </w:t>
      </w:r>
      <w:r w:rsidR="0050096F">
        <w:t xml:space="preserve">VanPelt </w:t>
      </w:r>
      <w:r>
        <w:t>advised reviewing prior monitoring reports to identify recurring focuses and remediate past findings, and Anthony and others remarked that monitoring requirements and requested documents change frequently.</w:t>
      </w:r>
    </w:p>
    <w:p w14:paraId="792A21B3" w14:textId="2311A209" w:rsidR="00755AC9" w:rsidRPr="0050096F" w:rsidRDefault="00755AC9" w:rsidP="00755AC9">
      <w:pPr>
        <w:rPr>
          <w:b/>
          <w:bCs/>
        </w:rPr>
      </w:pPr>
      <w:r w:rsidRPr="0050096F">
        <w:rPr>
          <w:b/>
          <w:bCs/>
        </w:rPr>
        <w:t>ETPL presentation</w:t>
      </w:r>
    </w:p>
    <w:p w14:paraId="605BCD61" w14:textId="7069105C" w:rsidR="00755AC9" w:rsidRDefault="00755AC9" w:rsidP="00755AC9">
      <w:r>
        <w:t xml:space="preserve">Kelly relayed that Kendra </w:t>
      </w:r>
      <w:r w:rsidR="0050096F">
        <w:t xml:space="preserve">Lee </w:t>
      </w:r>
      <w:r>
        <w:t xml:space="preserve">had informed her of an updated ETPL presentation and </w:t>
      </w:r>
      <w:r w:rsidR="0050096F">
        <w:t xml:space="preserve">Kelly will </w:t>
      </w:r>
      <w:r>
        <w:t>send that presentation to all attendees.</w:t>
      </w:r>
    </w:p>
    <w:p w14:paraId="2D0CAE9A" w14:textId="77777777" w:rsidR="0050096F" w:rsidRDefault="00755AC9" w:rsidP="00755AC9">
      <w:r>
        <w:t xml:space="preserve">Kelly reviewed slides about the ETPL's legal basis and the need for providers to obtain approval from relevant boards such as the Board of Nursing and Motor Vehicle Commission. </w:t>
      </w:r>
    </w:p>
    <w:p w14:paraId="705D641E" w14:textId="09A57F2E" w:rsidR="00755AC9" w:rsidRDefault="00755AC9" w:rsidP="00755AC9">
      <w:r>
        <w:t>She summarized provider obligations including quarterly student-level reporting and two-year renewals, and noted programs can be removed for noncompliance or poor outcomes.</w:t>
      </w:r>
    </w:p>
    <w:p w14:paraId="1970BD4A" w14:textId="55A077EE" w:rsidR="00755AC9" w:rsidRDefault="00755AC9" w:rsidP="00755AC9">
      <w:r>
        <w:t>A consumer report card is now available on the ETPL showing completion, employment, and earnings to support program comparison.</w:t>
      </w:r>
    </w:p>
    <w:p w14:paraId="071BD2B7" w14:textId="4439070D" w:rsidR="00755AC9" w:rsidRDefault="00755AC9" w:rsidP="00755AC9">
      <w:r>
        <w:t>Kelly and others explained that local and regional waivers can make programs eligible for ITAs when occupations are locally in demand and provided contacts for regional waiver requests.</w:t>
      </w:r>
    </w:p>
    <w:p w14:paraId="516F789B" w14:textId="05829A94" w:rsidR="00755AC9" w:rsidRDefault="00760F80" w:rsidP="00755AC9">
      <w:r>
        <w:t>Joan explained that a</w:t>
      </w:r>
      <w:r w:rsidR="00755AC9">
        <w:t>n Excel document exists that lists in-demand occupations by county and will be shared with participants and counselors.</w:t>
      </w:r>
    </w:p>
    <w:p w14:paraId="691CC3C2" w14:textId="77777777" w:rsidR="00755AC9" w:rsidRDefault="00755AC9" w:rsidP="00755AC9">
      <w:r w:rsidRPr="0050096F">
        <w:rPr>
          <w:b/>
          <w:bCs/>
        </w:rPr>
        <w:t xml:space="preserve">Apprenticeship </w:t>
      </w:r>
      <w:r w:rsidRPr="0050096F">
        <w:t>guidance and meeting close</w:t>
      </w:r>
    </w:p>
    <w:p w14:paraId="07A78CBD" w14:textId="1A9E2BDD" w:rsidR="005C737B" w:rsidRDefault="00755AC9" w:rsidP="00755AC9">
      <w:r>
        <w:t xml:space="preserve">Anthony </w:t>
      </w:r>
      <w:r w:rsidR="00760F80">
        <w:t xml:space="preserve">Scott </w:t>
      </w:r>
      <w:r>
        <w:t xml:space="preserve">requested an apprenticeship update </w:t>
      </w:r>
      <w:r w:rsidR="00CF4C51">
        <w:t>as a future agenda item</w:t>
      </w:r>
      <w:r>
        <w:t xml:space="preserve"> and Kyle Gornick confirmed apprenticeship guidance is in development with Jim Manning and likely to be ready for the May meeting. Kelly confirmed she will identify the apprenticeship presenter and </w:t>
      </w:r>
      <w:proofErr w:type="gramStart"/>
      <w:r>
        <w:t>reiterated</w:t>
      </w:r>
      <w:proofErr w:type="gramEnd"/>
      <w:r>
        <w:t xml:space="preserve"> next meeting logistics for May 20 at 10 a.m. via Teams.</w:t>
      </w:r>
    </w:p>
    <w:p w14:paraId="515321FC" w14:textId="77777777" w:rsidR="00760F80" w:rsidRDefault="00760F80" w:rsidP="00755AC9"/>
    <w:p w14:paraId="7EDF98C5" w14:textId="6780C003" w:rsidR="00755AC9" w:rsidRPr="0001662E" w:rsidRDefault="00755AC9" w:rsidP="00755AC9">
      <w:pPr>
        <w:rPr>
          <w:b/>
          <w:bCs/>
        </w:rPr>
      </w:pPr>
      <w:r w:rsidRPr="0001662E">
        <w:rPr>
          <w:b/>
          <w:bCs/>
        </w:rPr>
        <w:t>Action Items</w:t>
      </w:r>
    </w:p>
    <w:p w14:paraId="4253DE6F" w14:textId="345F470A" w:rsidR="00755AC9" w:rsidRPr="0050096F" w:rsidRDefault="00755AC9" w:rsidP="00755AC9">
      <w:pPr>
        <w:rPr>
          <w:rFonts w:cs="Arial"/>
          <w:color w:val="515151"/>
          <w:shd w:val="clear" w:color="auto" w:fill="FFFFFF"/>
        </w:rPr>
      </w:pPr>
      <w:r w:rsidRPr="0050096F">
        <w:rPr>
          <w:rFonts w:cs="Arial"/>
          <w:color w:val="515151"/>
          <w:shd w:val="clear" w:color="auto" w:fill="FFFFFF"/>
        </w:rPr>
        <w:t>Meeting participants will send their current credential-tracking practices to Kelly O'Neill McGuire for consolidation and group sharing.</w:t>
      </w:r>
    </w:p>
    <w:p w14:paraId="05EE0B22" w14:textId="4A6DE5AF" w:rsidR="00755AC9" w:rsidRPr="0050096F" w:rsidRDefault="00755AC9" w:rsidP="00755AC9">
      <w:pPr>
        <w:rPr>
          <w:rFonts w:cs="Arial"/>
          <w:color w:val="515151"/>
          <w:shd w:val="clear" w:color="auto" w:fill="FFFFFF"/>
        </w:rPr>
      </w:pPr>
      <w:r w:rsidRPr="0050096F">
        <w:rPr>
          <w:rFonts w:cs="Arial"/>
          <w:color w:val="515151"/>
          <w:shd w:val="clear" w:color="auto" w:fill="FFFFFF"/>
        </w:rPr>
        <w:t>Mark Vankampen will check with the WISE team to confirm current document-upload/scanning restrictions and report back.</w:t>
      </w:r>
    </w:p>
    <w:p w14:paraId="424A4A2E" w14:textId="410580DF" w:rsidR="00755AC9" w:rsidRPr="0050096F" w:rsidRDefault="00755AC9" w:rsidP="00755AC9">
      <w:pPr>
        <w:rPr>
          <w:rFonts w:cs="Arial"/>
          <w:color w:val="515151"/>
          <w:shd w:val="clear" w:color="auto" w:fill="FFFFFF"/>
        </w:rPr>
      </w:pPr>
      <w:r w:rsidRPr="0050096F">
        <w:rPr>
          <w:rFonts w:cs="Arial"/>
          <w:color w:val="515151"/>
          <w:shd w:val="clear" w:color="auto" w:fill="FFFFFF"/>
        </w:rPr>
        <w:t>Kelly will circulate the federal USDOL AI literacy guidance to meeting participants.</w:t>
      </w:r>
    </w:p>
    <w:p w14:paraId="2C997B05" w14:textId="2AD316A0" w:rsidR="00755AC9" w:rsidRPr="0050096F" w:rsidRDefault="00755AC9" w:rsidP="00755AC9">
      <w:pPr>
        <w:rPr>
          <w:rFonts w:cs="Arial"/>
          <w:color w:val="515151"/>
          <w:shd w:val="clear" w:color="auto" w:fill="FFFFFF"/>
        </w:rPr>
      </w:pPr>
      <w:r w:rsidRPr="0050096F">
        <w:rPr>
          <w:rFonts w:cs="Arial"/>
          <w:color w:val="515151"/>
          <w:shd w:val="clear" w:color="auto" w:fill="FFFFFF"/>
        </w:rPr>
        <w:t>Nick will send the procurement policy website link to the group so others can access it.</w:t>
      </w:r>
    </w:p>
    <w:p w14:paraId="4FBF23D3" w14:textId="13A99C5A" w:rsidR="00755AC9" w:rsidRPr="0050096F" w:rsidRDefault="00755AC9" w:rsidP="00755AC9">
      <w:pPr>
        <w:rPr>
          <w:rFonts w:cs="Arial"/>
          <w:color w:val="515151"/>
          <w:shd w:val="clear" w:color="auto" w:fill="FFFFFF"/>
        </w:rPr>
      </w:pPr>
      <w:r w:rsidRPr="0050096F">
        <w:rPr>
          <w:rFonts w:cs="Arial"/>
          <w:color w:val="515151"/>
          <w:shd w:val="clear" w:color="auto" w:fill="FFFFFF"/>
        </w:rPr>
        <w:t>John (Bicica) will finalize and distribute the updated ADA/EEO policy language when ready.</w:t>
      </w:r>
    </w:p>
    <w:p w14:paraId="385B19C7" w14:textId="47408A94" w:rsidR="00755AC9" w:rsidRPr="0050096F" w:rsidRDefault="00755AC9" w:rsidP="00755AC9">
      <w:pPr>
        <w:rPr>
          <w:rFonts w:cs="Arial"/>
          <w:color w:val="515151"/>
          <w:shd w:val="clear" w:color="auto" w:fill="FFFFFF"/>
        </w:rPr>
      </w:pPr>
      <w:r w:rsidRPr="0050096F">
        <w:rPr>
          <w:rFonts w:cs="Arial"/>
          <w:color w:val="515151"/>
          <w:shd w:val="clear" w:color="auto" w:fill="FFFFFF"/>
        </w:rPr>
        <w:t>Kelly will distribute the updated ETPL presentation to meeting attendees.</w:t>
      </w:r>
      <w:r w:rsidR="000248FD">
        <w:rPr>
          <w:rFonts w:cs="Arial"/>
          <w:color w:val="515151"/>
          <w:shd w:val="clear" w:color="auto" w:fill="FFFFFF"/>
        </w:rPr>
        <w:t xml:space="preserve">  </w:t>
      </w:r>
      <w:r w:rsidRPr="0050096F">
        <w:rPr>
          <w:rFonts w:cs="Arial"/>
          <w:color w:val="515151"/>
          <w:shd w:val="clear" w:color="auto" w:fill="FFFFFF"/>
        </w:rPr>
        <w:t>Attendees will forward questions about the presentation to Kelly and to Kendra Lee or the Training and Evaluation Unit as needed.</w:t>
      </w:r>
    </w:p>
    <w:p w14:paraId="0417C78D" w14:textId="4ABCB87A" w:rsidR="00755AC9" w:rsidRPr="0050096F" w:rsidRDefault="00755AC9" w:rsidP="00755AC9">
      <w:pPr>
        <w:rPr>
          <w:rFonts w:cs="Arial"/>
          <w:color w:val="515151"/>
          <w:shd w:val="clear" w:color="auto" w:fill="FFFFFF"/>
        </w:rPr>
      </w:pPr>
      <w:r w:rsidRPr="0050096F">
        <w:rPr>
          <w:rFonts w:cs="Arial"/>
          <w:color w:val="515151"/>
          <w:shd w:val="clear" w:color="auto" w:fill="FFFFFF"/>
        </w:rPr>
        <w:t xml:space="preserve">Kelly will distribute the </w:t>
      </w:r>
      <w:r w:rsidR="00B571BE" w:rsidRPr="0001662E">
        <w:rPr>
          <w:rFonts w:cs="Calibri"/>
        </w:rPr>
        <w:t xml:space="preserve">New LMI-Based ITA </w:t>
      </w:r>
      <w:r w:rsidR="0001662E" w:rsidRPr="0001662E">
        <w:rPr>
          <w:rFonts w:cs="Calibri"/>
        </w:rPr>
        <w:t>Waiver Options</w:t>
      </w:r>
      <w:r w:rsidR="0001662E">
        <w:rPr>
          <w:rFonts w:cs="Calibri"/>
        </w:rPr>
        <w:t xml:space="preserve"> list of </w:t>
      </w:r>
      <w:r w:rsidRPr="0001662E">
        <w:rPr>
          <w:rFonts w:cs="Arial"/>
          <w:color w:val="515151"/>
          <w:shd w:val="clear" w:color="auto" w:fill="FFFFFF"/>
        </w:rPr>
        <w:t>county</w:t>
      </w:r>
      <w:r w:rsidR="00B571BE">
        <w:rPr>
          <w:rFonts w:cs="Arial"/>
          <w:color w:val="515151"/>
          <w:shd w:val="clear" w:color="auto" w:fill="FFFFFF"/>
        </w:rPr>
        <w:t xml:space="preserve"> and regional-level </w:t>
      </w:r>
      <w:r w:rsidRPr="0050096F">
        <w:rPr>
          <w:rFonts w:cs="Arial"/>
          <w:color w:val="515151"/>
          <w:shd w:val="clear" w:color="auto" w:fill="FFFFFF"/>
        </w:rPr>
        <w:t>in-demand occupations to meeting participants</w:t>
      </w:r>
      <w:r w:rsidR="00B571BE">
        <w:rPr>
          <w:rFonts w:cs="Arial"/>
          <w:color w:val="515151"/>
          <w:shd w:val="clear" w:color="auto" w:fill="FFFFFF"/>
        </w:rPr>
        <w:t>, as shared by Joan Demarais.</w:t>
      </w:r>
    </w:p>
    <w:p w14:paraId="6DACC703" w14:textId="39AF96B4" w:rsidR="00580D9B" w:rsidRDefault="00760F80" w:rsidP="0003156C">
      <w:pPr>
        <w:rPr>
          <w:rFonts w:ascii="Arial" w:eastAsia="Times New Roman" w:hAnsi="Arial" w:cs="Arial"/>
          <w:b/>
          <w:bCs/>
          <w:color w:val="282828"/>
          <w:kern w:val="0"/>
          <w:sz w:val="36"/>
          <w:szCs w:val="36"/>
          <w14:ligatures w14:val="none"/>
        </w:rPr>
      </w:pPr>
      <w:r w:rsidRPr="0050096F">
        <w:rPr>
          <w:rFonts w:cs="Arial"/>
          <w:color w:val="515151"/>
          <w:shd w:val="clear" w:color="auto" w:fill="FFFFFF"/>
        </w:rPr>
        <w:t xml:space="preserve">Kelly will reach out to identify </w:t>
      </w:r>
      <w:r w:rsidR="0003156C">
        <w:rPr>
          <w:rFonts w:cs="Arial"/>
          <w:color w:val="515151"/>
          <w:shd w:val="clear" w:color="auto" w:fill="FFFFFF"/>
        </w:rPr>
        <w:t>an</w:t>
      </w:r>
      <w:r w:rsidRPr="0050096F">
        <w:rPr>
          <w:rFonts w:cs="Arial"/>
          <w:color w:val="515151"/>
          <w:shd w:val="clear" w:color="auto" w:fill="FFFFFF"/>
        </w:rPr>
        <w:t xml:space="preserve"> apprenticeship presenter for the May meeting.</w:t>
      </w:r>
    </w:p>
    <w:sectPr w:rsidR="00580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3DD6"/>
    <w:multiLevelType w:val="multilevel"/>
    <w:tmpl w:val="15B4E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F2F18"/>
    <w:multiLevelType w:val="multilevel"/>
    <w:tmpl w:val="F472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756D4"/>
    <w:multiLevelType w:val="multilevel"/>
    <w:tmpl w:val="8702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52102"/>
    <w:multiLevelType w:val="multilevel"/>
    <w:tmpl w:val="01BA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E4F00"/>
    <w:multiLevelType w:val="multilevel"/>
    <w:tmpl w:val="FFA6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D0D40"/>
    <w:multiLevelType w:val="multilevel"/>
    <w:tmpl w:val="19CE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EA50E4"/>
    <w:multiLevelType w:val="multilevel"/>
    <w:tmpl w:val="F388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FA7161"/>
    <w:multiLevelType w:val="multilevel"/>
    <w:tmpl w:val="C394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33566F"/>
    <w:multiLevelType w:val="multilevel"/>
    <w:tmpl w:val="5A92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B655B7"/>
    <w:multiLevelType w:val="multilevel"/>
    <w:tmpl w:val="2C36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98649C"/>
    <w:multiLevelType w:val="multilevel"/>
    <w:tmpl w:val="16A4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AC16B2"/>
    <w:multiLevelType w:val="multilevel"/>
    <w:tmpl w:val="A860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A84225"/>
    <w:multiLevelType w:val="multilevel"/>
    <w:tmpl w:val="B4FC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793306"/>
    <w:multiLevelType w:val="multilevel"/>
    <w:tmpl w:val="6666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1F3255"/>
    <w:multiLevelType w:val="multilevel"/>
    <w:tmpl w:val="5D7E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7723478">
    <w:abstractNumId w:val="6"/>
  </w:num>
  <w:num w:numId="2" w16cid:durableId="1980261905">
    <w:abstractNumId w:val="0"/>
  </w:num>
  <w:num w:numId="3" w16cid:durableId="1021860039">
    <w:abstractNumId w:val="9"/>
  </w:num>
  <w:num w:numId="4" w16cid:durableId="1712923976">
    <w:abstractNumId w:val="2"/>
  </w:num>
  <w:num w:numId="5" w16cid:durableId="1956522010">
    <w:abstractNumId w:val="13"/>
  </w:num>
  <w:num w:numId="6" w16cid:durableId="2139645419">
    <w:abstractNumId w:val="5"/>
  </w:num>
  <w:num w:numId="7" w16cid:durableId="273370329">
    <w:abstractNumId w:val="4"/>
  </w:num>
  <w:num w:numId="8" w16cid:durableId="124739078">
    <w:abstractNumId w:val="14"/>
  </w:num>
  <w:num w:numId="9" w16cid:durableId="1881673981">
    <w:abstractNumId w:val="7"/>
  </w:num>
  <w:num w:numId="10" w16cid:durableId="669253957">
    <w:abstractNumId w:val="10"/>
  </w:num>
  <w:num w:numId="11" w16cid:durableId="1884903458">
    <w:abstractNumId w:val="12"/>
  </w:num>
  <w:num w:numId="12" w16cid:durableId="1331299441">
    <w:abstractNumId w:val="8"/>
  </w:num>
  <w:num w:numId="13" w16cid:durableId="1149444432">
    <w:abstractNumId w:val="1"/>
  </w:num>
  <w:num w:numId="14" w16cid:durableId="382293763">
    <w:abstractNumId w:val="3"/>
  </w:num>
  <w:num w:numId="15" w16cid:durableId="7136540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U0MjAyNTc2MzY3MDVS0lEKTi0uzszPAykwqgUAxwx5cCwAAAA="/>
  </w:docVars>
  <w:rsids>
    <w:rsidRoot w:val="00755AC9"/>
    <w:rsid w:val="0001662E"/>
    <w:rsid w:val="000248FD"/>
    <w:rsid w:val="0003156C"/>
    <w:rsid w:val="00156FA7"/>
    <w:rsid w:val="001C16BE"/>
    <w:rsid w:val="0033700E"/>
    <w:rsid w:val="004F50E6"/>
    <w:rsid w:val="0050096F"/>
    <w:rsid w:val="00532E4B"/>
    <w:rsid w:val="00580D9B"/>
    <w:rsid w:val="005C737B"/>
    <w:rsid w:val="006B3032"/>
    <w:rsid w:val="00755AC9"/>
    <w:rsid w:val="00760F80"/>
    <w:rsid w:val="00B571BE"/>
    <w:rsid w:val="00BE6C28"/>
    <w:rsid w:val="00CF16DF"/>
    <w:rsid w:val="00CF4C51"/>
    <w:rsid w:val="00D6131C"/>
    <w:rsid w:val="00ED1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F7CB"/>
  <w15:chartTrackingRefBased/>
  <w15:docId w15:val="{EFA42BF3-A0C1-47FF-ABCE-1D48709D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A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5A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55A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A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A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A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A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A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A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A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5A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55A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A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A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A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A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A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AC9"/>
    <w:rPr>
      <w:rFonts w:eastAsiaTheme="majorEastAsia" w:cstheme="majorBidi"/>
      <w:color w:val="272727" w:themeColor="text1" w:themeTint="D8"/>
    </w:rPr>
  </w:style>
  <w:style w:type="paragraph" w:styleId="Title">
    <w:name w:val="Title"/>
    <w:basedOn w:val="Normal"/>
    <w:next w:val="Normal"/>
    <w:link w:val="TitleChar"/>
    <w:uiPriority w:val="10"/>
    <w:qFormat/>
    <w:rsid w:val="00755A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A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A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A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AC9"/>
    <w:pPr>
      <w:spacing w:before="160"/>
      <w:jc w:val="center"/>
    </w:pPr>
    <w:rPr>
      <w:i/>
      <w:iCs/>
      <w:color w:val="404040" w:themeColor="text1" w:themeTint="BF"/>
    </w:rPr>
  </w:style>
  <w:style w:type="character" w:customStyle="1" w:styleId="QuoteChar">
    <w:name w:val="Quote Char"/>
    <w:basedOn w:val="DefaultParagraphFont"/>
    <w:link w:val="Quote"/>
    <w:uiPriority w:val="29"/>
    <w:rsid w:val="00755AC9"/>
    <w:rPr>
      <w:i/>
      <w:iCs/>
      <w:color w:val="404040" w:themeColor="text1" w:themeTint="BF"/>
    </w:rPr>
  </w:style>
  <w:style w:type="paragraph" w:styleId="ListParagraph">
    <w:name w:val="List Paragraph"/>
    <w:basedOn w:val="Normal"/>
    <w:uiPriority w:val="34"/>
    <w:qFormat/>
    <w:rsid w:val="00755AC9"/>
    <w:pPr>
      <w:ind w:left="720"/>
      <w:contextualSpacing/>
    </w:pPr>
  </w:style>
  <w:style w:type="character" w:styleId="IntenseEmphasis">
    <w:name w:val="Intense Emphasis"/>
    <w:basedOn w:val="DefaultParagraphFont"/>
    <w:uiPriority w:val="21"/>
    <w:qFormat/>
    <w:rsid w:val="00755AC9"/>
    <w:rPr>
      <w:i/>
      <w:iCs/>
      <w:color w:val="0F4761" w:themeColor="accent1" w:themeShade="BF"/>
    </w:rPr>
  </w:style>
  <w:style w:type="paragraph" w:styleId="IntenseQuote">
    <w:name w:val="Intense Quote"/>
    <w:basedOn w:val="Normal"/>
    <w:next w:val="Normal"/>
    <w:link w:val="IntenseQuoteChar"/>
    <w:uiPriority w:val="30"/>
    <w:qFormat/>
    <w:rsid w:val="00755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AC9"/>
    <w:rPr>
      <w:i/>
      <w:iCs/>
      <w:color w:val="0F4761" w:themeColor="accent1" w:themeShade="BF"/>
    </w:rPr>
  </w:style>
  <w:style w:type="character" w:styleId="IntenseReference">
    <w:name w:val="Intense Reference"/>
    <w:basedOn w:val="DefaultParagraphFont"/>
    <w:uiPriority w:val="32"/>
    <w:qFormat/>
    <w:rsid w:val="00755AC9"/>
    <w:rPr>
      <w:b/>
      <w:bCs/>
      <w:smallCaps/>
      <w:color w:val="0F4761" w:themeColor="accent1" w:themeShade="BF"/>
      <w:spacing w:val="5"/>
    </w:rPr>
  </w:style>
  <w:style w:type="paragraph" w:customStyle="1" w:styleId="muitypography-root">
    <w:name w:val="muitypography-root"/>
    <w:basedOn w:val="Normal"/>
    <w:rsid w:val="00580D9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ss-10qbfiq">
    <w:name w:val="css-10qbfiq"/>
    <w:basedOn w:val="DefaultParagraphFont"/>
    <w:rsid w:val="00580D9B"/>
  </w:style>
  <w:style w:type="character" w:customStyle="1" w:styleId="muitypography-root1">
    <w:name w:val="muitypography-root1"/>
    <w:basedOn w:val="DefaultParagraphFont"/>
    <w:rsid w:val="00580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219</TotalTime>
  <Pages>1</Pages>
  <Words>1561</Words>
  <Characters>8995</Characters>
  <Application>Microsoft Office Word</Application>
  <DocSecurity>0</DocSecurity>
  <Lines>243</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O'Neill McGuire, Kelly</dc:creator>
  <cp:keywords/>
  <dc:description/>
  <cp:lastModifiedBy>O'Neill McGuire, Kelly</cp:lastModifiedBy>
  <cp:revision>6</cp:revision>
  <dcterms:created xsi:type="dcterms:W3CDTF">2026-02-18T20:30:00Z</dcterms:created>
  <dcterms:modified xsi:type="dcterms:W3CDTF">2026-02-19T22:26:00Z</dcterms:modified>
</cp:coreProperties>
</file>